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87" w:rsidRDefault="0007102A" w:rsidP="00F20687">
      <w:pPr>
        <w:jc w:val="center"/>
        <w:rPr>
          <w:b/>
          <w:sz w:val="16"/>
          <w:szCs w:val="16"/>
          <w:u w:val="single"/>
        </w:rPr>
      </w:pPr>
      <w:r w:rsidRPr="000B20F9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329565</wp:posOffset>
            </wp:positionV>
            <wp:extent cx="608965" cy="1090295"/>
            <wp:effectExtent l="19050" t="0" r="635" b="0"/>
            <wp:wrapTight wrapText="right">
              <wp:wrapPolygon edited="0">
                <wp:start x="-676" y="0"/>
                <wp:lineTo x="-676" y="21135"/>
                <wp:lineTo x="21623" y="21135"/>
                <wp:lineTo x="21623" y="0"/>
                <wp:lineTo x="-676" y="0"/>
              </wp:wrapPolygon>
            </wp:wrapTight>
            <wp:docPr id="1" name="productImage" descr="8 ozGoats Prefer--Power Punc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8 ozGoats Prefer--Power Punc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F42" w:rsidRPr="000B20F9">
        <w:rPr>
          <w:b/>
          <w:sz w:val="36"/>
          <w:szCs w:val="36"/>
          <w:u w:val="single"/>
        </w:rPr>
        <w:t>Products enclosed in your New Baby Packet</w:t>
      </w:r>
      <w:r w:rsidR="00F20687">
        <w:rPr>
          <w:b/>
          <w:sz w:val="16"/>
          <w:szCs w:val="16"/>
          <w:u w:val="single"/>
        </w:rPr>
        <w:br/>
      </w:r>
    </w:p>
    <w:p w:rsidR="0007102A" w:rsidRPr="00F20687" w:rsidRDefault="00A16F42" w:rsidP="00F20687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>Goats Prefer</w:t>
      </w:r>
      <w:r w:rsidR="00586329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 xml:space="preserve"> </w:t>
      </w:r>
      <w:r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>Power Punch</w:t>
      </w:r>
      <w:r w:rsidR="00586329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 xml:space="preserve"> Supplement</w:t>
      </w:r>
      <w:r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 xml:space="preserve"> (Dark, Molasses colored liquid</w:t>
      </w:r>
      <w:proofErr w:type="gramStart"/>
      <w:r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>)</w:t>
      </w:r>
      <w:proofErr w:type="gramEnd"/>
      <w:r w:rsidR="00F20687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br/>
      </w:r>
      <w:r w:rsidRPr="00F20687">
        <w:rPr>
          <w:rFonts w:ascii="Times New Roman" w:hAnsi="Times New Roman" w:cs="Times New Roman"/>
          <w:color w:val="000000"/>
          <w:sz w:val="20"/>
          <w:szCs w:val="20"/>
          <w:lang w:val="en-GB"/>
        </w:rPr>
        <w:t>(Vets Plus, Inc)  Carefully formulated to help support normal energy levels, appetite and digestion. Administer to goats when kidding, weaning, vaccinating, handling, weather changes, shipping or post antibiotic treatment. Gi</w:t>
      </w:r>
      <w:r w:rsidR="0007102A" w:rsidRPr="00F20687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ve 1 oz per 100 lbs body weight. Works best to just put 1 or 2cc’s into a syringe &amp; squirt it into the </w:t>
      </w:r>
      <w:proofErr w:type="gramStart"/>
      <w:r w:rsidR="0007102A" w:rsidRPr="00F20687">
        <w:rPr>
          <w:rFonts w:ascii="Times New Roman" w:hAnsi="Times New Roman" w:cs="Times New Roman"/>
          <w:color w:val="000000"/>
          <w:sz w:val="20"/>
          <w:szCs w:val="20"/>
          <w:lang w:val="en-GB"/>
        </w:rPr>
        <w:t>goats</w:t>
      </w:r>
      <w:proofErr w:type="gramEnd"/>
      <w:r w:rsidR="0007102A" w:rsidRPr="00F20687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mouth.</w:t>
      </w:r>
    </w:p>
    <w:p w:rsidR="0007102A" w:rsidRPr="00A16F42" w:rsidRDefault="0007102A" w:rsidP="0007102A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GB"/>
        </w:rPr>
      </w:pPr>
    </w:p>
    <w:p w:rsidR="0007102A" w:rsidRDefault="0007102A" w:rsidP="00A16F42">
      <w:pPr>
        <w:spacing w:after="63"/>
        <w:outlineLvl w:val="1"/>
        <w:rPr>
          <w:rFonts w:ascii="Verdana" w:hAnsi="Verdana"/>
          <w:b/>
          <w:bCs/>
          <w:color w:val="000066"/>
          <w:kern w:val="36"/>
          <w:sz w:val="23"/>
          <w:szCs w:val="23"/>
        </w:rPr>
      </w:pPr>
      <w:r>
        <w:rPr>
          <w:rFonts w:ascii="Verdana" w:hAnsi="Verdana"/>
          <w:b/>
          <w:bCs/>
          <w:noProof/>
          <w:color w:val="000066"/>
          <w:kern w:val="36"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161290</wp:posOffset>
            </wp:positionV>
            <wp:extent cx="553720" cy="1033145"/>
            <wp:effectExtent l="19050" t="0" r="0" b="0"/>
            <wp:wrapTight wrapText="right">
              <wp:wrapPolygon edited="0">
                <wp:start x="-743" y="0"/>
                <wp:lineTo x="-743" y="21109"/>
                <wp:lineTo x="21550" y="21109"/>
                <wp:lineTo x="21550" y="0"/>
                <wp:lineTo x="-743" y="0"/>
              </wp:wrapPolygon>
            </wp:wrapTight>
            <wp:docPr id="7" name="productImage" descr="Valbazen Drench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Valbazen Drench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F42" w:rsidRPr="00A16F42">
        <w:rPr>
          <w:rFonts w:ascii="Verdana" w:hAnsi="Verdana"/>
          <w:b/>
          <w:bCs/>
          <w:color w:val="000066"/>
          <w:kern w:val="36"/>
          <w:sz w:val="23"/>
          <w:szCs w:val="23"/>
        </w:rPr>
        <w:t xml:space="preserve"> </w:t>
      </w:r>
    </w:p>
    <w:p w:rsidR="0007102A" w:rsidRPr="00F20687" w:rsidRDefault="00A16F42" w:rsidP="00F20687">
      <w:pPr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</w:pPr>
      <w:proofErr w:type="spellStart"/>
      <w:r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>Valbazen</w:t>
      </w:r>
      <w:proofErr w:type="spellEnd"/>
      <w:r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 xml:space="preserve"> Drench</w:t>
      </w:r>
      <w:r w:rsidR="000B20F9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 xml:space="preserve"> </w:t>
      </w:r>
      <w:proofErr w:type="spellStart"/>
      <w:r w:rsidR="00586329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>Dewormer</w:t>
      </w:r>
      <w:proofErr w:type="spellEnd"/>
      <w:r w:rsidR="00586329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 xml:space="preserve"> </w:t>
      </w:r>
      <w:r w:rsidR="000B20F9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>(Thin watery white liquid)</w:t>
      </w:r>
      <w:r w:rsid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br/>
      </w:r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 xml:space="preserve">(Pfizer Animal Health)  11.36% </w:t>
      </w:r>
      <w:proofErr w:type="spellStart"/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>Albendazole</w:t>
      </w:r>
      <w:proofErr w:type="spellEnd"/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 xml:space="preserve"> for removal and control of liver flukes, tapeworms, stomach worms (including 4th stage inhibited larvae of </w:t>
      </w:r>
      <w:proofErr w:type="spellStart"/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>Ostertagia</w:t>
      </w:r>
      <w:proofErr w:type="spellEnd"/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 xml:space="preserve">), intestinal worms and lungworms in cattle and sheep. </w:t>
      </w:r>
      <w:proofErr w:type="gramStart"/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 xml:space="preserve">For treatment of adult liver flukes in </w:t>
      </w:r>
      <w:proofErr w:type="spellStart"/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>nonlactating</w:t>
      </w:r>
      <w:proofErr w:type="spellEnd"/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 xml:space="preserve"> goats.</w:t>
      </w:r>
      <w:proofErr w:type="gramEnd"/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 xml:space="preserve"> Do not use in the first 45 days of pregnancy. We use the dosage of 1cc per 10 lbs of bodyweight. </w:t>
      </w:r>
      <w:r w:rsidR="00F20687"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>(Babies are usually given about 2cc’s)</w:t>
      </w:r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 xml:space="preserve"> Our adults get </w:t>
      </w:r>
      <w:proofErr w:type="gramStart"/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>6</w:t>
      </w:r>
      <w:r w:rsidR="00F20687"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>-8</w:t>
      </w:r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>cc’s</w:t>
      </w:r>
      <w:proofErr w:type="gramEnd"/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>.</w:t>
      </w:r>
      <w:r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 xml:space="preserve"> </w:t>
      </w:r>
    </w:p>
    <w:p w:rsidR="0007102A" w:rsidRDefault="0007102A" w:rsidP="0007102A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GB"/>
        </w:rPr>
      </w:pPr>
    </w:p>
    <w:p w:rsidR="0007102A" w:rsidRDefault="0007102A" w:rsidP="0007102A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112395</wp:posOffset>
            </wp:positionV>
            <wp:extent cx="808990" cy="1049020"/>
            <wp:effectExtent l="19050" t="0" r="0" b="0"/>
            <wp:wrapTight wrapText="right">
              <wp:wrapPolygon edited="0">
                <wp:start x="-509" y="0"/>
                <wp:lineTo x="-509" y="21182"/>
                <wp:lineTo x="21363" y="21182"/>
                <wp:lineTo x="21363" y="0"/>
                <wp:lineTo x="-509" y="0"/>
              </wp:wrapPolygon>
            </wp:wrapTight>
            <wp:docPr id="10" name="Picture 10" descr="Vitamins and Electrolytes">
              <a:hlinkClick xmlns:a="http://schemas.openxmlformats.org/drawingml/2006/main" r:id="rId7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tamins and Electrolytes">
                      <a:hlinkClick r:id="rId7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02A" w:rsidRPr="00F20687" w:rsidRDefault="000B20F9" w:rsidP="00F20687">
      <w:pPr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</w:pPr>
      <w:proofErr w:type="spellStart"/>
      <w:r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>Durvet</w:t>
      </w:r>
      <w:proofErr w:type="spellEnd"/>
      <w:r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 xml:space="preserve"> Vitamins &amp; Electrolytes Powder (Diluted yellow color</w:t>
      </w:r>
      <w:proofErr w:type="gramStart"/>
      <w:r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>)</w:t>
      </w:r>
      <w:proofErr w:type="gramEnd"/>
      <w:r w:rsidR="00F20687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br/>
      </w:r>
      <w:r w:rsidR="0007102A"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>A water soluble premix of vitamins and electrolytes specifically formulated as a water or feed additive; for use when animals are subject to conditions of stress.</w:t>
      </w:r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 xml:space="preserve">  We put a big “pinch” of this into about ¼ cup warm water, </w:t>
      </w:r>
      <w:proofErr w:type="gramStart"/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>then</w:t>
      </w:r>
      <w:proofErr w:type="gramEnd"/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 xml:space="preserve"> use a syringe to squirt the electrolytes into the goats mouth. Most of our goats absolutely LOVE this stuff, and look forward to getting it. We use it before, during, &amp; after shows – and/or for any stressful event or illness.</w:t>
      </w:r>
    </w:p>
    <w:p w:rsidR="005F7989" w:rsidRPr="0007102A" w:rsidRDefault="005F7989" w:rsidP="0007102A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GB"/>
        </w:rPr>
      </w:pPr>
    </w:p>
    <w:p w:rsidR="00485347" w:rsidRPr="00F20687" w:rsidRDefault="00F20687" w:rsidP="00F20687">
      <w:pPr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17145</wp:posOffset>
            </wp:positionV>
            <wp:extent cx="664210" cy="1327150"/>
            <wp:effectExtent l="19050" t="0" r="2540" b="0"/>
            <wp:wrapTight wrapText="bothSides">
              <wp:wrapPolygon edited="0">
                <wp:start x="-620" y="0"/>
                <wp:lineTo x="-620" y="21393"/>
                <wp:lineTo x="21683" y="21393"/>
                <wp:lineTo x="21683" y="0"/>
                <wp:lineTo x="-620" y="0"/>
              </wp:wrapPolygon>
            </wp:wrapTight>
            <wp:docPr id="6" name="Picture 4" descr="http://goat.purinamills.com/stellent/groups/public/documents/web_content/ecmd0007185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at.purinamills.com/stellent/groups/public/documents/web_content/ecmd0007185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989">
        <w:rPr>
          <w:rFonts w:ascii="Verdana" w:eastAsia="Times New Roman" w:hAnsi="Verdana" w:cs="Times New Roman"/>
          <w:noProof/>
          <w:color w:val="000000"/>
          <w:sz w:val="20"/>
          <w:szCs w:val="20"/>
        </w:rPr>
        <w:t xml:space="preserve"> </w:t>
      </w:r>
      <w:r w:rsidR="005F7989">
        <w:rPr>
          <w:rFonts w:ascii="Verdana" w:eastAsia="Times New Roman" w:hAnsi="Verdana" w:cs="Times New Roman"/>
          <w:noProof/>
          <w:color w:val="000000"/>
          <w:sz w:val="20"/>
          <w:szCs w:val="20"/>
        </w:rPr>
        <w:br/>
      </w:r>
      <w:r w:rsidR="00485347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>Purina Goat Chow</w:t>
      </w:r>
      <w:r w:rsidR="00586329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 xml:space="preserve"> (Great all-around grain</w:t>
      </w:r>
      <w:proofErr w:type="gramStart"/>
      <w:r w:rsidR="00586329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>)</w:t>
      </w:r>
      <w:proofErr w:type="gramEnd"/>
      <w:r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br/>
      </w:r>
      <w:r w:rsidR="00485347"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>Purina Goat Chow is fortified with all the essential vitamins and minerals, such as selenium, Vitamin E, and cobalt and provides 16% all natural protein. Goat Chow can be fed to dry does, growing does, bucks, Pygmy goats, Show goats and as a milking ration.</w:t>
      </w:r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 xml:space="preserve"> We recommend adding Ammonium Chloride to a buck/wethers grain, a small pinch at each grain feeding to prevent Urinary Stones.</w:t>
      </w:r>
    </w:p>
    <w:p w:rsidR="00485347" w:rsidRDefault="00F20687" w:rsidP="00485347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280035</wp:posOffset>
            </wp:positionV>
            <wp:extent cx="599440" cy="1351280"/>
            <wp:effectExtent l="19050" t="0" r="0" b="0"/>
            <wp:wrapTight wrapText="bothSides">
              <wp:wrapPolygon edited="0">
                <wp:start x="15788" y="0"/>
                <wp:lineTo x="4119" y="305"/>
                <wp:lineTo x="-686" y="1827"/>
                <wp:lineTo x="-686" y="20707"/>
                <wp:lineTo x="3432" y="21316"/>
                <wp:lineTo x="9610" y="21316"/>
                <wp:lineTo x="20593" y="21316"/>
                <wp:lineTo x="21280" y="21316"/>
                <wp:lineTo x="21280" y="0"/>
                <wp:lineTo x="15788" y="0"/>
              </wp:wrapPolygon>
            </wp:wrapTight>
            <wp:docPr id="5" name="Picture 1" descr="http://goat.purinamills.com/stellent/groups/public/documents/web_content/ecmd0011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at.purinamills.com/stellent/groups/public/documents/web_content/ecmd001154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989" w:rsidRPr="00F20687" w:rsidRDefault="005F7989" w:rsidP="00F20687">
      <w:pPr>
        <w:rPr>
          <w:rFonts w:ascii="Verdana" w:eastAsia="Times New Roman" w:hAnsi="Verdana" w:cs="Arial"/>
          <w:color w:val="000000"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b/>
          <w:bCs/>
          <w:color w:val="000066"/>
          <w:kern w:val="36"/>
          <w:sz w:val="23"/>
          <w:szCs w:val="23"/>
        </w:rPr>
        <w:br/>
      </w:r>
      <w:r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>Purina Noble Goat Grower 16%</w:t>
      </w:r>
      <w:r w:rsidR="00EA63B7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 xml:space="preserve"> or </w:t>
      </w:r>
      <w:r w:rsidR="007447EE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>20%</w:t>
      </w:r>
      <w:r w:rsidR="00586329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 xml:space="preserve"> (Good grain for growing goats</w:t>
      </w:r>
      <w:proofErr w:type="gramStart"/>
      <w:r w:rsidR="00586329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>)</w:t>
      </w:r>
      <w:proofErr w:type="gramEnd"/>
      <w:r w:rsidR="00F20687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br/>
      </w:r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 xml:space="preserve">Noble Goat™ Grower 16 </w:t>
      </w:r>
      <w:r w:rsidR="007447EE"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 xml:space="preserve">(or 20) </w:t>
      </w:r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 xml:space="preserve">is a </w:t>
      </w:r>
      <w:proofErr w:type="spellStart"/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>pelleted</w:t>
      </w:r>
      <w:proofErr w:type="spellEnd"/>
      <w:r w:rsidRPr="00F20687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 xml:space="preserve"> complete feed formulated for the optimum growth, development and maintenance of goats. Noble Goat™ products deliver the nutrition and performance you expect</w:t>
      </w:r>
      <w:r w:rsidRPr="00F20687">
        <w:rPr>
          <w:rFonts w:ascii="Verdana" w:eastAsia="Times New Roman" w:hAnsi="Verdana" w:cs="Arial"/>
          <w:color w:val="000000"/>
          <w:sz w:val="20"/>
          <w:szCs w:val="20"/>
          <w:lang w:val="en-GB"/>
        </w:rPr>
        <w:t xml:space="preserve">. </w:t>
      </w:r>
    </w:p>
    <w:p w:rsidR="005F7989" w:rsidRDefault="005F7989" w:rsidP="00485347">
      <w:pPr>
        <w:rPr>
          <w:rFonts w:ascii="Verdana" w:eastAsia="Times New Roman" w:hAnsi="Verdana" w:cs="Arial"/>
          <w:color w:val="000000"/>
          <w:sz w:val="20"/>
          <w:szCs w:val="20"/>
          <w:lang w:val="en-GB"/>
        </w:rPr>
      </w:pPr>
    </w:p>
    <w:p w:rsidR="00F20687" w:rsidRDefault="00F20687" w:rsidP="00485347">
      <w:pPr>
        <w:rPr>
          <w:rFonts w:ascii="Verdana" w:eastAsia="Times New Roman" w:hAnsi="Verdana" w:cs="Arial"/>
          <w:color w:val="000000"/>
          <w:sz w:val="20"/>
          <w:szCs w:val="20"/>
          <w:lang w:val="en-GB"/>
        </w:rPr>
      </w:pPr>
    </w:p>
    <w:p w:rsidR="00F20687" w:rsidRPr="00E2778F" w:rsidRDefault="00E2778F" w:rsidP="00485347">
      <w:pPr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66"/>
          <w:kern w:val="36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8255</wp:posOffset>
            </wp:positionV>
            <wp:extent cx="1035685" cy="1157605"/>
            <wp:effectExtent l="19050" t="0" r="0" b="0"/>
            <wp:wrapTight wrapText="bothSides">
              <wp:wrapPolygon edited="0">
                <wp:start x="-397" y="0"/>
                <wp:lineTo x="-397" y="21327"/>
                <wp:lineTo x="21454" y="21327"/>
                <wp:lineTo x="21454" y="0"/>
                <wp:lineTo x="-397" y="0"/>
              </wp:wrapPolygon>
            </wp:wrapTight>
            <wp:docPr id="2" name="Picture 1" descr="https://tse2.mm.bing.net/th?id=OIP.Ma4646090edf022b702c38325d868794c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Ma4646090edf022b702c38325d868794c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br/>
      </w:r>
      <w:proofErr w:type="gramStart"/>
      <w:r w:rsidR="00F20687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 xml:space="preserve">Purina Goat </w:t>
      </w:r>
      <w:r w:rsid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>Mineral</w:t>
      </w:r>
      <w:r w:rsidR="00F20687" w:rsidRP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 xml:space="preserve"> (Great all-around </w:t>
      </w:r>
      <w:r w:rsidR="00F20687">
        <w:rPr>
          <w:rFonts w:ascii="Times New Roman" w:eastAsia="Times New Roman" w:hAnsi="Times New Roman" w:cs="Times New Roman"/>
          <w:b/>
          <w:bCs/>
          <w:color w:val="000066"/>
          <w:kern w:val="36"/>
          <w:sz w:val="20"/>
          <w:szCs w:val="20"/>
        </w:rPr>
        <w:t>goat mineral)</w:t>
      </w:r>
      <w:r w:rsidR="00F20687">
        <w:rPr>
          <w:noProof/>
        </w:rPr>
        <w:t xml:space="preserve"> </w:t>
      </w:r>
      <w:r w:rsidR="00F20687">
        <w:rPr>
          <w:noProof/>
        </w:rPr>
        <w:br/>
      </w:r>
      <w:r w:rsidR="00F20687" w:rsidRPr="00E2778F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>All-purpose vitamin and mineral supplement suitable for goats of all ages and breeds.</w:t>
      </w:r>
      <w:proofErr w:type="gramEnd"/>
      <w:r w:rsidR="00F20687" w:rsidRPr="00E2778F">
        <w:rPr>
          <w:rFonts w:ascii="Times New Roman" w:eastAsia="Times New Roman" w:hAnsi="Times New Roman" w:cs="Times New Roman"/>
          <w:bCs/>
          <w:color w:val="000066"/>
          <w:kern w:val="36"/>
          <w:sz w:val="20"/>
          <w:szCs w:val="20"/>
        </w:rPr>
        <w:t xml:space="preserve"> Feed free-choice from sheltered feeders or mix into finished rations to provide approximately 1/4 to 1/2 ounce per head daily.</w:t>
      </w:r>
    </w:p>
    <w:sectPr w:rsidR="00F20687" w:rsidRPr="00E2778F" w:rsidSect="00071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6F42"/>
    <w:rsid w:val="0007102A"/>
    <w:rsid w:val="000B20F9"/>
    <w:rsid w:val="002A48C0"/>
    <w:rsid w:val="002B5622"/>
    <w:rsid w:val="00485347"/>
    <w:rsid w:val="00586329"/>
    <w:rsid w:val="005F7989"/>
    <w:rsid w:val="006101A2"/>
    <w:rsid w:val="006E2E9A"/>
    <w:rsid w:val="007447EE"/>
    <w:rsid w:val="009528C6"/>
    <w:rsid w:val="00A02E6A"/>
    <w:rsid w:val="00A16F42"/>
    <w:rsid w:val="00E2778F"/>
    <w:rsid w:val="00EA63B7"/>
    <w:rsid w:val="00F20687"/>
    <w:rsid w:val="00F9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42"/>
    <w:rPr>
      <w:rFonts w:ascii="Tahoma" w:hAnsi="Tahoma" w:cs="Tahoma"/>
      <w:sz w:val="16"/>
      <w:szCs w:val="16"/>
    </w:rPr>
  </w:style>
  <w:style w:type="character" w:customStyle="1" w:styleId="itemimage">
    <w:name w:val="itemimage"/>
    <w:basedOn w:val="DefaultParagraphFont"/>
    <w:rsid w:val="0007102A"/>
    <w:rPr>
      <w:vanish w:val="0"/>
      <w:webHidden w:val="0"/>
      <w:bdr w:val="none" w:sz="0" w:space="0" w:color="auto" w:frame="1"/>
      <w:specVanish w:val="0"/>
    </w:rPr>
  </w:style>
  <w:style w:type="paragraph" w:styleId="NormalWeb">
    <w:name w:val="Normal (Web)"/>
    <w:basedOn w:val="Normal"/>
    <w:uiPriority w:val="99"/>
    <w:semiHidden/>
    <w:unhideWhenUsed/>
    <w:rsid w:val="0007102A"/>
    <w:pPr>
      <w:spacing w:before="63" w:after="63" w:line="240" w:lineRule="auto"/>
      <w:ind w:left="63" w:right="63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5372">
                  <w:marLeft w:val="3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592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44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62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52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7652368">
                      <w:marLeft w:val="0"/>
                      <w:marRight w:val="0"/>
                      <w:marTop w:val="125"/>
                      <w:marBottom w:val="0"/>
                      <w:divBdr>
                        <w:top w:val="single" w:sz="2" w:space="3" w:color="000000"/>
                        <w:left w:val="single" w:sz="2" w:space="16" w:color="000000"/>
                        <w:bottom w:val="single" w:sz="2" w:space="0" w:color="000000"/>
                        <w:right w:val="single" w:sz="2" w:space="16" w:color="000000"/>
                      </w:divBdr>
                      <w:divsChild>
                        <w:div w:id="6562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748">
                  <w:marLeft w:val="3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293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2923">
                  <w:marLeft w:val="3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991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42115">
      <w:bodyDiv w:val="1"/>
      <w:marLeft w:val="250"/>
      <w:marRight w:val="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22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5198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820">
                  <w:marLeft w:val="2504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4639">
                              <w:marLeft w:val="0"/>
                              <w:marRight w:val="0"/>
                              <w:marTop w:val="0"/>
                              <w:marBottom w:val="301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15" w:color="CCCCCC"/>
                                <w:right w:val="none" w:sz="0" w:space="0" w:color="auto"/>
                              </w:divBdr>
                              <w:divsChild>
                                <w:div w:id="13244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4779">
                                          <w:marLeft w:val="0"/>
                                          <w:marRight w:val="0"/>
                                          <w:marTop w:val="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8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9" w:color="BBBBBB"/>
                                                <w:left w:val="single" w:sz="4" w:space="9" w:color="BBBBBB"/>
                                                <w:bottom w:val="single" w:sz="4" w:space="9" w:color="BBBBBB"/>
                                                <w:right w:val="single" w:sz="4" w:space="9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rvet.com/media/k2/items/cache/063ee9aeb9f60efa02823e51450f82ce_XL.jp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hyperlink" Target="javascript:NewWin('http://www.valleyvet.com/zoomimage.html?img=swatches/34482_L_vvs_000.jpg','imageView','590','635')" TargetMode="External"/><Relationship Id="rId9" Type="http://schemas.openxmlformats.org/officeDocument/2006/relationships/hyperlink" Target="http://goat.purinamills.com/OURPRODUCTS/PRODUCTS/GoatChow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7</cp:revision>
  <cp:lastPrinted>2014-08-10T15:35:00Z</cp:lastPrinted>
  <dcterms:created xsi:type="dcterms:W3CDTF">2012-05-19T06:09:00Z</dcterms:created>
  <dcterms:modified xsi:type="dcterms:W3CDTF">2016-06-11T18:11:00Z</dcterms:modified>
</cp:coreProperties>
</file>